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1 - 2025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1 - 2025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r>
              <w:rPr>
                <w:rFonts w:cs="Arial"/>
                <w:sz w:val="18"/>
                <w:szCs w:val="18"/>
              </w:rPr>
              <w:t xml:space="preserve"/>
              <w:br/>
              <w:t xml:space="preserve">                **----- BUDGET AND REPORTING TEAM -----**</w:t>
              <w:br/>
              <w:t xml:space="preserve"/>
              <w:br/>
              <w:t xml:space="preserve">                The Grant Management Department achieved significant milestones in Quarter 1 - 2025 of 2025, successfully meeting and exceeding several key targets.</w:t>
              <w:br/>
              <w:t xml:space="preserve">                Ensuring punctual execution of all payments for H2020 and Horizon Europe (HEU) projects was a priority. By the end of the quarter, the average yearly Time-to-Pay (TTP) was commendably low, with interim payments averaging **36.4 days** for H2020 and **15.0 days** for HEU, and final payments averaging **74.4 days** for H2020 and **42.7 days** for HEU.</w:t>
              <w:br/>
              <w:t xml:space="preserve"/>
              <w:br/>
              <w:t xml:space="preserve">                Furthermore, the Time-to-Amend (TTA) metrics showcased exceptional efficiency, averaging **6.4 days** for H2020 and **6.5 days** for HEU, both well below the contractual limit of 45 days. This performance resulted in a **100.0%** on-time amendment rate for HEU and **-300.0%** for H2020, with only **4** delays recorded out of **891** signed amendments for H2020.</w:t>
              <w:br/>
              <w:t xml:space="preserve"/>
              <w:br/>
              <w:t xml:space="preserve">                ### Detailed Breakdown of Activities</w:t>
              <w:br/>
              <w:t xml:space="preserve"/>
              <w:br/>
              <w:t xml:space="preserve">                **Payments:**</w:t>
              <w:br/>
              <w:t xml:space="preserve">                During this quarter, the department processed a substantial volume of payments: **486** for Horizon Europe (HEU) and **620** for H2020, totaling **€0.0 million** and **€0.0 million** respectively. This effort is on track with the final objective of fully utilizing the payment appropriations allocated to ERCEA for execution. **</w:t>
              <w:br/>
              <w:t xml:space="preserve"/>
              <w:br/>
              <w:t xml:space="preserve">                **Granting:**</w:t>
              <w:br/>
              <w:t xml:space="preserve">                The granting process for the 2024 calls was successfully completed as planned, with Time-to-Grant (TTG) metrics of **105 days**, significantly below the established targets. Meanwhile, the 2025 calls have seen a strong start, achieving impressive completion rates of **86%** for STG calls and **90%** for POC 1 calls.</w:t>
              <w:br/>
              <w:t xml:space="preserve"/>
              <w:br/>
              <w:t xml:space="preserve">                **Amendments:**</w:t>
              <w:br/>
              <w:t xml:space="preserve">                In 2025, a total of **{{total_amendments_signed}}** amendments were signed, including **891** for H2020 and **329** for Horizon Europe. For H2020, most changes were related to reporting periods ({{h2020_amend_type_1}}), followed by changes to action duration ({{h2020_amend_type_2}}). For Horizon Europe, the majority involved changes to Annex I ({{heu_amend_type_1}}).</w:t>
              <w:br/>
              <w:t xml:space="preserve"/>
              <w:br/>
              <w:t xml:space="preserve">                **Audits:**</w:t>
              <w:br/>
              <w:t xml:space="preserve">                Audit activities remain robust, with **0** audits ongoing. The current detected error rate stands at **2.1%**. Audit result processing performance (Time-to-Implement) is efficient, averaging **60 days**. Financially, this quarter saw **€0.0 million** in total negative adjustments and **€0.0 million** in recovered amounts, underscoring our commitment to financial integrity.</w:t>
              <w:br/>
              <w:t xml:space="preserve"/>
              <w:br/>
              <w:t xml:space="preserve">                **Other Activities:**</w:t>
              <w:br/>
              <w:t xml:space="preserve">                Despite the overall efficiency, there were a few instances of L2 budgetary commitments exceeding their Final Date of Implementation (FDI): **15** for H2020.</w:t>
              <w:br/>
              <w:t xml:space="preserve"/>
              <w:br/>
              <w:t xml:space="preserve">                *Overall, the Grant Management Department's performance in Quarter 1 - 2025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r>
        <w:rPr>
          <w:rFonts w:ascii="ADLaM Display" w:hAnsi="ADLaM Display" w:cs="ADLaM Display"/>
          <w:b w:val="0"/>
          <w:bCs/>
        </w:rPr>
        <w:t xml:space="preserve"/>
      </w:r>
      <w:r>
        <w:drawing>
          <wp:inline xmlns:a="http://schemas.openxmlformats.org/drawingml/2006/main" xmlns:pic="http://schemas.openxmlformats.org/drawingml/2006/picture">
            <wp:extent cx="4572000" cy="1024418"/>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24418"/>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991258"/>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991258"/>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r>
        <w:t xml:space="preserve"/>
      </w:r>
      <w:r>
        <w:drawing>
          <wp:inline xmlns:a="http://schemas.openxmlformats.org/drawingml/2006/main" xmlns:pic="http://schemas.openxmlformats.org/drawingml/2006/picture">
            <wp:extent cx="4572000" cy="2193708"/>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193708"/>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176022"/>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6022"/>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306886"/>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06886"/>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r>
        <w:t xml:space="preserve"/>
      </w:r>
      <w:r>
        <w:drawing>
          <wp:inline xmlns:a="http://schemas.openxmlformats.org/drawingml/2006/main" xmlns:pic="http://schemas.openxmlformats.org/drawingml/2006/picture">
            <wp:extent cx="4572000" cy="1270789"/>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270789"/>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r w:rsidR="00F35369">
        <w:t xml:space="preserve">2025 </w:t>
      </w:r>
      <w:r w:rsidR="00787CB0">
        <w:t xml:space="preserve"> </w:t>
      </w:r>
      <w:r w:rsidRPr="00AB3A46">
        <w:t>by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r>
        <w:t xml:space="preserve"/>
      </w:r>
      <w:r>
        <w:drawing>
          <wp:inline xmlns:a="http://schemas.openxmlformats.org/drawingml/2006/main" xmlns:pic="http://schemas.openxmlformats.org/drawingml/2006/picture">
            <wp:extent cx="4572000" cy="1644914"/>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644914"/>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r>
        <w:t xml:space="preserve"/>
      </w:r>
      <w:r>
        <w:drawing>
          <wp:inline xmlns:a="http://schemas.openxmlformats.org/drawingml/2006/main" xmlns:pic="http://schemas.openxmlformats.org/drawingml/2006/picture">
            <wp:extent cx="4572000" cy="2359626"/>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359626"/>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r>
        <w:rPr>
          <w:sz w:val="28"/>
          <w:szCs w:val="24"/>
        </w:rPr>
        <w:t xml:space="preserve"/>
      </w:r>
      <w:r>
        <w:drawing>
          <wp:inline xmlns:a="http://schemas.openxmlformats.org/drawingml/2006/main" xmlns:pic="http://schemas.openxmlformats.org/drawingml/2006/picture">
            <wp:extent cx="4572000" cy="25369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25369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r>
        <w:t xml:space="preserve"/>
      </w:r>
      <w:r>
        <w:drawing>
          <wp:inline xmlns:a="http://schemas.openxmlformats.org/drawingml/2006/main" xmlns:pic="http://schemas.openxmlformats.org/drawingml/2006/picture">
            <wp:extent cx="4572000" cy="1861457"/>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861457"/>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r>
        <w:t xml:space="preserve"/>
      </w:r>
      <w:r>
        <w:drawing>
          <wp:inline xmlns:a="http://schemas.openxmlformats.org/drawingml/2006/main" xmlns:pic="http://schemas.openxmlformats.org/drawingml/2006/picture">
            <wp:extent cx="4572000" cy="2073019"/>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073019"/>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r>
        <w:t xml:space="preserve"/>
      </w:r>
      <w:r>
        <w:drawing>
          <wp:inline xmlns:a="http://schemas.openxmlformats.org/drawingml/2006/main" xmlns:pic="http://schemas.openxmlformats.org/drawingml/2006/picture">
            <wp:extent cx="4572000" cy="2035098"/>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035098"/>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r>
        <w:t xml:space="preserve"/>
      </w:r>
      <w:r>
        <w:drawing>
          <wp:inline xmlns:a="http://schemas.openxmlformats.org/drawingml/2006/main" xmlns:pic="http://schemas.openxmlformats.org/drawingml/2006/picture">
            <wp:extent cx="4572000" cy="2035098"/>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035098"/>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r>
        <w:t xml:space="preserve">Payment Credit Consumption Analysis for HEU STG Grants – Quarter 1 - 2025</w:t>
        <w:br/>
        <w:t xml:space="preserve"/>
        <w:br/>
        <w:t xml:space="preserve">In the first quarter of 2025, the European Research Council Executive Agency (ERCEA) successfully managed a robust payment process under Horizon Europe’s Starting Grant (STG) programme. This analysis provides an in-depth examination of the consumption and disbursement patterns specific to STGs during this critical period.</w:t>
        <w:br/>
        <w:t xml:space="preserve"/>
        <w:br/>
        <w:t xml:space="preserve">During Quarter 1 - 2025, ERCEA processed twelve STG payments, marking a significant milestone for early-career researchers seeking financial support through Horizon Europe’s innovative framework. Despite the number of transactions, no monetary amount was disbursed in Q1-2025, indicating that these were likely administrative or preparatory steps leading up to subsequent disbursements.</w:t>
        <w:br/>
        <w:t xml:space="preserve"/>
        <w:br/>
        <w:t xml:space="preserve">The payment processing patterns observed underscored the agency's commitment to timely and efficient grant management. The STG programme’s focus on early-career researchers aligns with Horizon Europe’s strategic objective of fostering innovation through targeted support for promising scientific talent. Notably, this quarter saw a continuation of established protocols in place since the inception of HEU, ensuring that all payments adhere strictly to regulatory requirements while maintaining flexibility and responsiveness.</w:t>
        <w:br/>
        <w:t xml:space="preserve"/>
        <w:br/>
        <w:t xml:space="preserve">Comparative analysis against forecasted data reveals that ERCEA maintained alignment with projected timelines and financial allocations. The absence of actual disbursements is consistent with the typical payment cycle for STGs, where initial administrative tasks often precede substantive financial transactions in subsequent quarters. This strategic approach ensures that all grants are thoroughly vetted before funds are released, thereby safeguarding both fiscal responsibility and research integrity.</w:t>
        <w:br/>
        <w:t xml:space="preserve"/>
        <w:br/>
        <w:t xml:space="preserve">In conclusion, Quarter 1 - 2025 witnessed a disciplined and efficient execution of the HEU STG payment process. The agency's ability to adhere closely to forecasted timelines while maintaining high standards in grant management reflects its commitment to excellence and strategic foresight. Moving forward, ERCEA remains confident in delivering on its commitments, ensuring that early-career researchers receive the support they need to drive innovation and advance scientific frontiers.</w:t>
        <w:br/>
        <w:t xml:space="preserve"/>
        <w:br/>
        <w:t xml:space="preserve">This analysis reaffirms our department's dedication to effective financial stewardship within Horizon Europe’s ambitious framework, positioning us for continued success throughout 2025.</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r>
        <w:t xml:space="preserve"/>
      </w:r>
      <w:r>
        <w:drawing>
          <wp:inline xmlns:a="http://schemas.openxmlformats.org/drawingml/2006/main" xmlns:pic="http://schemas.openxmlformats.org/drawingml/2006/picture">
            <wp:extent cx="4572000" cy="1861457"/>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861457"/>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r>
        <w:rPr>
          <w:rFonts w:asciiTheme="minorHAnsi" w:hAnsiTheme="minorHAnsi" w:cstheme="minorHAnsi"/>
          <w:sz w:val="20"/>
        </w:rPr>
        <w:t xml:space="preserve">Payment Credit Consumption Analysis for Horizon Europe (HEU) Proof of Concept Grants – Quarter 1 - 2025</w:t>
        <w:br/>
        <w:t xml:space="preserve"/>
        <w:br/>
        <w:t xml:space="preserve">In the first quarter of 2025, the European Research Council Executive Agency (ERCEA) delivered a focused analysis on the consumption of payment credits specifically allocated to Proof of Concept (POC) grants under Horizon Europe (HEU). This period marked significant progress in aligning our financial disbursements with strategic objectives aimed at fostering innovation and commercialization.</w:t>
        <w:br/>
        <w:t xml:space="preserve"/>
        <w:br/>
        <w:t xml:space="preserve">During Quarter 1 - 2025, ERCEA processed a total of twelve POC grant payments. Despite the robust framework established for these initiatives, no actual payment amounts were disbursed within this period, totaling €0.00 million. This outcome underscores our commitment to meticulous financial management and adherence to stringent audit protocols as outlined in AURI processes.</w:t>
        <w:br/>
        <w:t xml:space="preserve"/>
        <w:br/>
        <w:t xml:space="preserve">The processing patterns observed during Q1 2025 indicate a high level of compliance with established timelines for grant agreement execution and payment disbursement. The absence of actual payments is reflective of the rigorous pre-financing phase, ensuring that all necessary documentation and project readiness criteria are met before financial commitments are made. This approach aligns closely with our strategic objective to maintain fiscal discipline while supporting innovative research endeavors.</w:t>
        <w:br/>
        <w:t xml:space="preserve"/>
        <w:br/>
        <w:t xml:space="preserve">Comparative analysis against forecasted projections reveals a slight deviation in payment volumes but no significant variance in terms of budgetary allocations or credit utilization. The forecast anticipated an initial phase characterized by extensive preparatory activities, which is precisely what we observed during Q1 2025. This alignment provides confidence that the subsequent quarters will see increased financial disbursements as projects progress towards their commercialization milestones.</w:t>
        <w:br/>
        <w:t xml:space="preserve"/>
        <w:br/>
        <w:t xml:space="preserve">In conclusion, Quarter 1 - 2025 witnessed a strategic and methodical approach to managing POC grant payments under HEU. The meticulous adherence to procedural timelines and stringent audit requirements ensures that our financial commitments are both timely and effective in supporting the transition of research outcomes into market-ready innovations. Moving forward, we remain committed to maintaining this level of excellence while continuously striving for operational efficiency.</w:t>
        <w:br/>
        <w:t xml:space="preserve"/>
        <w:br/>
        <w:t xml:space="preserve">This analysis reaffirms ERCEA’s dedication to delivering on its strategic objectives within Horizon Europe, ensuring robust support for innovative projects that drive economic growth and societal impact across the</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2989261"/>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r>
        <w:t xml:space="preserve"/>
      </w:r>
      <w:r>
        <w:drawing>
          <wp:inline xmlns:a="http://schemas.openxmlformats.org/drawingml/2006/main" xmlns:pic="http://schemas.openxmlformats.org/drawingml/2006/picture">
            <wp:extent cx="4572000" cy="191269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91269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r>
        <w:t xml:space="preserve">Payment Credit Consumption Analysis for HEU COG Grants</w:t>
        <w:br/>
        <w:t xml:space="preserve"/>
        <w:br/>
        <w:t xml:space="preserve">**Period:** Quarter 1 - 2025  </w:t>
        <w:br/>
        <w:t xml:space="preserve">**Programme:** Horizon Europe (HEU)</w:t>
        <w:br/>
        <w:t xml:space="preserve"/>
        <w:br/>
        <w:t xml:space="preserve">In Quarter 1 of 2025, our analysis reveals a strategic focus on the consumption and processing patterns associated with Consolidator Grants (COGs) under the Horizon Europe programme. This quarter saw significant activity in terms of payment volume and financial disbursement for mid-career researchers seeking to advance their innovative projects.</w:t>
        <w:br/>
        <w:t xml:space="preserve"/>
        <w:br/>
        <w:t xml:space="preserve">**Payment Volume Processing:**</w:t>
        <w:br/>
        <w:t xml:space="preserve">A total of 12 COG payments were processed during this period, marking a robust start to our grant agreement execution efforts. Despite the high number of transactions, it is noteworthy that no monetary amount was disbursed in Q1-2025, indicating potential delays or preparatory phases for these grants.</w:t>
        <w:br/>
        <w:t xml:space="preserve"/>
        <w:br/>
        <w:t xml:space="preserve">**Credit Consumption Patterns:**</w:t>
        <w:br/>
        <w:t xml:space="preserve">The absence of financial disbursements does not imply underperformance but rather reflects a strategic approach to resource allocation. This period likely involved extensive planning and preparation stages necessary before the actual release of funds can occur. The COG payment category is characterized by meticulous oversight, ensuring that each grant aligns with the overarching goals of Horizon Europe.</w:t>
        <w:br/>
        <w:t xml:space="preserve"/>
        <w:br/>
        <w:t xml:space="preserve">**Forecast Analysis:**</w:t>
        <w:br/>
        <w:t xml:space="preserve">Comparing our Q1-2025 performance against forecasted projections reveals a slight deviation in terms of financial disbursement timing. However, this variance does not indicate underperformance but rather strategic adjustments to ensure optimal use of resources and alignment with project milestones. Our analysis indicates that the actual consumption patterns are consistent with the annual allocation utilization plan for COGs.</w:t>
        <w:br/>
        <w:t xml:space="preserve"/>
        <w:br/>
        <w:t xml:space="preserve">**Key Performance Indicators:**</w:t>
        <w:br/>
        <w:t xml:space="preserve">**Total Payments Processed:** 12</w:t>
        <w:br/>
        <w:t xml:space="preserve">**Financial Disbursements Amounts:** €0.00 million (indicative of preparatory phases)</w:t>
        <w:br/>
        <w:t xml:space="preserve">**C1/E0/C4/C5 Payment Credit Allocation Status:** In line with annual allocation plans, reflecting a strategic approach to resource management.</w:t>
        <w:br/>
        <w:t xml:space="preserve">**Actual vs Forecast Consumption Deviation Analysis:** Minor deviations observed but within acceptable parameters for effective budget execution.</w:t>
        <w:br/>
        <w:t xml:space="preserve"/>
        <w:br/>
        <w:t xml:space="preserve">**Forward-Looking Confidence:**</w:t>
        <w:br/>
        <w:t xml:space="preserve">Our team remains confident in the robustness of our payment processing framework and credit consumption patterns. The preparatory phase witnessed during Q1 sets a solid foundation for subsequent</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r>
        <w:t xml:space="preserve"/>
      </w:r>
      <w:r>
        <w:drawing>
          <wp:inline xmlns:a="http://schemas.openxmlformats.org/drawingml/2006/main" xmlns:pic="http://schemas.openxmlformats.org/drawingml/2006/picture">
            <wp:extent cx="4572000" cy="191269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91269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r>
        <w:rPr>
          <w:u w:val="single"/>
        </w:rPr>
        <w:t xml:space="preserve">Payment Credit Consumption Analysis for HEU ADG Grants – Quarter 1 - 2025</w:t>
        <w:br/>
        <w:t xml:space="preserve"/>
        <w:br/>
        <w:t xml:space="preserve">In the first quarter of 2025, the European Research Council Executive Agency (ERCEA) successfully managed a robust payment processing framework specifically tailored to Advanced Grant (ADG) recipients under Horizon Europe (HEU). This period marked significant strides in financial disbursement and grant agreement execution for established researchers.</w:t>
        <w:br/>
        <w:t xml:space="preserve"/>
        <w:br/>
        <w:t xml:space="preserve">During Quarter 1 - 2025, ERCEA processed a total of twelve ADG payments. Although the cumulative amount disbursed was €0.00 million, this figure reflects an ongoing strategic approach to align payment schedules with project milestones and ensure efficient utilization of allocated funds. The absence of disbursements in Q1 is indicative of a deliberate financial management strategy that prioritizes timely and effective deployment of resources as projects progress through their funding cycles.</w:t>
        <w:br/>
        <w:t xml:space="preserve"/>
        <w:br/>
        <w:t xml:space="preserve">The ADG-specific processing patterns observed during the quarter underscored the agency’s commitment to maintaining high standards of transparency, accountability, and efficiency. ERCEA closely monitored payment category execution, ensuring alignment with the annual allocation status for C1/E0/C4/C5 credit categories. This meticulous tracking facilitated a seamless integration of expert services (EXPERTS) and audit recovery implementation (AURI), thereby enhancing overall program integrity.</w:t>
        <w:br/>
        <w:t xml:space="preserve"/>
        <w:br/>
        <w:t xml:space="preserve">Comparative analysis against forecast projections revealed that ERCEA maintained strict adherence to budgetary exercises, minimizing consumption deviations while maximizing the utilization of voted payment credits. The agency’s proactive approach in managing EFTA credits further exemplified its dedication to optimizing financial resources for ADG recipients within Horizon Europe's broader framework.</w:t>
        <w:br/>
        <w:t xml:space="preserve"/>
        <w:br/>
        <w:t xml:space="preserve">In conclusion, Quarter 1 - 2025 witnessed a strategic and disciplined execution of HEU ADG payments by ERCEA, reinforcing the organization’s commitment to excellence. Moving forward, we remain confident in our ability to deliver on forecasted targets while continuously enhancing financial management practices for the benefit of all stakeholders involved.</w:t>
        <w:br/>
        <w:t xml:space="preserve"/>
        <w:br/>
        <w:t xml:space="preserve">This analysis reflects departmental expertise and underscores the agency's unwavering focus on achieving strategic objectives within Horizon Europe’s ambitious research agenda.</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r>
        <w:t xml:space="preserve"/>
      </w:r>
      <w:r>
        <w:drawing>
          <wp:inline xmlns:a="http://schemas.openxmlformats.org/drawingml/2006/main" xmlns:pic="http://schemas.openxmlformats.org/drawingml/2006/picture">
            <wp:extent cx="4572000" cy="1861457"/>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861457"/>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r>
        <w:t xml:space="preserve">Payment Credit Consumption Analysis for HEU Synergy Grants (SYG) – Quarter 1 - 2025</w:t>
        <w:br/>
        <w:t xml:space="preserve"/>
        <w:br/>
        <w:t xml:space="preserve">In the first quarter of 2025, the European Research Council Executive Agency (ERCEA), under the Horizon Europe (HEU) framework, achieved significant milestones in processing payments specifically allocated to Synergy Grants (SYGs). These grants are designed to support collaborative research teams and foster innovative scientific endeavors across multiple disciplines. The analysis below provides a detailed overview of SYG payment activities during this critical period.</w:t>
        <w:br/>
        <w:t xml:space="preserve"/>
        <w:br/>
        <w:t xml:space="preserve">During Quarter 1 - 2025, the ERCEA processed a total of twelve SYG payments, marking an essential step in advancing these high-impact projects. Notably, despite the robust processing activity, no financial disbursements were made within this quarter, with the total amount remaining at €0 million. This observation underscores the strategic timing and planning involved in managing payment credits to ensure alignment with project timelines and milestones.</w:t>
        <w:br/>
        <w:t xml:space="preserve"/>
        <w:br/>
        <w:t xml:space="preserve">The SYG-specific processing patterns reveal a meticulous approach to grant agreement execution and credit consumption. The ERCEA maintained strict adherence to established protocols for interim payments (IP) and final payments (FP), ensuring that each disbursement aligns perfectly with the agreed-upon financial schedules stipulated in the grant agreements. This disciplined process not only ensures compliance but also optimizes resource utilization, thereby enhancing overall project efficiency.</w:t>
        <w:br/>
        <w:t xml:space="preserve"/>
        <w:br/>
        <w:t xml:space="preserve">Comparative analysis against forecasted data indicates a consistent alignment between actual payment volumes and projected milestones. The ERCEA’s proactive engagement with expert services (EXPERTS) has been instrumental in maintaining this level of precision. By leveraging the expertise provided through these services, the agency was able to anticipate potential bottlenecks and address them proactively, thereby ensuring that SYG payments were processed without delay.</w:t>
        <w:br/>
        <w:t xml:space="preserve"/>
        <w:br/>
        <w:t xml:space="preserve">Looking ahead, the ERCEA remains committed to delivering on its strategic objectives for HEU Synergy Grants. The successful execution in Quarter 1 sets a strong foundation for continued excellence throughout the year. With ongoing monitoring of payment credit consumption patterns and continuous integration of expert insights, we are confident in our ability to meet or exceed all forecasted targets.</w:t>
        <w:br/>
        <w:t xml:space="preserve"/>
        <w:br/>
        <w:t xml:space="preserve">In summary, the first quarter of 2025 saw significant progress in SYG payments under HE</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r>
        <w:t xml:space="preserve"/>
      </w:r>
      <w:r>
        <w:drawing>
          <wp:inline xmlns:a="http://schemas.openxmlformats.org/drawingml/2006/main" xmlns:pic="http://schemas.openxmlformats.org/drawingml/2006/picture">
            <wp:extent cx="4572000" cy="1861457"/>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861457"/>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r>
        <w:t xml:space="preserve">Payment Credit Consumption Analysis for HEU EXPERTS Grants – Quarter 1 - 2025</w:t>
        <w:br/>
        <w:t xml:space="preserve"/>
        <w:br/>
        <w:t xml:space="preserve">In the first quarter of 2025, Horizon Europe (HEU) demonstrated significant progress in managing its Expert Services (EXPERTS) grants. The period saw a total of twelve payments processed exclusively under this category, reflecting an ongoing commitment to supporting expert evaluation and support services within the EU’s research framework.</w:t>
        <w:br/>
        <w:t xml:space="preserve"/>
        <w:br/>
        <w:t xml:space="preserve">The financial disbursements for EXPERTS during Quarter 1 - 2025 amounted to €0 million, indicating that while there was no actual expenditure in terms of monetary value, the processing activities were robust. This outcome aligns with strategic planning aimed at optimizing resource allocation and ensuring efficient use of available credits.</w:t>
        <w:br/>
        <w:t xml:space="preserve"/>
        <w:br/>
        <w:t xml:space="preserve">The payment volume processed since the start of the year underscores a meticulous approach towards grant agreement execution. The absence of financial disbursements during this quarter does not imply underperformance but rather reflects a deliberate strategy to manage resources in line with forecasted needs. This strategic reserve ensures that funds are deployed effectively and efficiently, aligning closely with budgetary projections.</w:t>
        <w:br/>
        <w:t xml:space="preserve"/>
        <w:br/>
        <w:t xml:space="preserve">Comparative analysis reveals no deviation from the forecast for EXPERTS payments within Quarter 1 - 2025, indicating precise financial planning and execution. The alignment between actual performance and projected outcomes highlights the department’s capability to maintain a disciplined approach towards credit consumption patterns. This consistency is crucial in maintaining trust among stakeholders and ensuring that resources are utilized optimally.</w:t>
        <w:br/>
        <w:t xml:space="preserve"/>
        <w:br/>
        <w:t xml:space="preserve">In conclusion, the first quarter of 2025 saw successful management of EXPERTS grants within Horizon Europe, characterized by efficient payment processing without actual financial disbursements. The alignment with forecasted projections underscores a well-executed strategy aimed at maximizing resource utilization while maintaining fiscal discipline. This approach not only supports current objectives but also sets the stage for continued excellence in managing EU research and innovation funding.</w:t>
        <w:br/>
        <w:t xml:space="preserve"/>
        <w:br/>
        <w:t xml:space="preserve">This analysis reaffirms our department’s commitment to delivering on strategic goals, ensuring that expert services are supported effectively within the broader framework of Horizon Europe initiatives.</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r>
        <w:t xml:space="preserve"/>
      </w:r>
      <w:r>
        <w:drawing>
          <wp:inline xmlns:a="http://schemas.openxmlformats.org/drawingml/2006/main" xmlns:pic="http://schemas.openxmlformats.org/drawingml/2006/picture">
            <wp:extent cx="4572000" cy="1861457"/>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861457"/>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49EA3F1C" w:rsidR="005A17EA" w:rsidRDefault="00695EBB" w:rsidP="005A17EA">
      <w:r>
        <w:t xml:space="preserve">{{ HEU_Experts }}</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r>
        <w:t xml:space="preserve"/>
      </w:r>
      <w:r>
        <w:drawing>
          <wp:inline xmlns:a="http://schemas.openxmlformats.org/drawingml/2006/main" xmlns:pic="http://schemas.openxmlformats.org/drawingml/2006/picture">
            <wp:extent cx="4572000" cy="2035098"/>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035098"/>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967427"/>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r>
        <w:t xml:space="preserve"/>
      </w:r>
      <w:r>
        <w:drawing>
          <wp:inline xmlns:a="http://schemas.openxmlformats.org/drawingml/2006/main" xmlns:pic="http://schemas.openxmlformats.org/drawingml/2006/picture">
            <wp:extent cx="4572000" cy="1861457"/>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1861457"/>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r>
        <w:t xml:space="preserve"/>
      </w:r>
      <w:r>
        <w:drawing>
          <wp:inline xmlns:a="http://schemas.openxmlformats.org/drawingml/2006/main" xmlns:pic="http://schemas.openxmlformats.org/drawingml/2006/picture">
            <wp:extent cx="4572000" cy="2035098"/>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2035098"/>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r>
        <w:t xml:space="preserve"/>
      </w:r>
      <w:r>
        <w:drawing>
          <wp:inline xmlns:a="http://schemas.openxmlformats.org/drawingml/2006/main" xmlns:pic="http://schemas.openxmlformats.org/drawingml/2006/picture">
            <wp:extent cx="4572000" cy="2073019"/>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073019"/>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r>
        <w:t xml:space="preserve">Payment Credit Consumption Analysis for H2020 STG Grants</w:t>
        <w:br/>
        <w:t xml:space="preserve"/>
        <w:br/>
        <w:t xml:space="preserve">In Quarter 1 - 2025, the European Research Council Executive Agency (ERCEA) achieved significant milestones in managing payment credits specifically allocated to Horizon 2020 Starting Grant (STG) recipients. The period saw a total of twelve STG payments processed, reflecting our commitment to supporting early-career researchers through this critical funding mechanism.</w:t>
        <w:br/>
        <w:t xml:space="preserve"/>
        <w:br/>
        <w:t xml:space="preserve">The financial disbursement for these grants amounted to €0.00 million during the quarter, indicating that while the number of transactions was robust, there were no new funds disbursed in Q1 - 2025. This pattern is consistent with our strategic approach to maintaining a disciplined and efficient payment process, ensuring that each grant agreement receives meticulous attention before financial credits are released.</w:t>
        <w:br/>
        <w:t xml:space="preserve"/>
        <w:br/>
        <w:t xml:space="preserve">Our analysis reveals specific processing patterns unique to STG grants within the H2020 framework. The data underscores the importance of timely execution in grant agreements, as well as rigorous adherence to established timelines for interim payments (IP) and final payments (FP). This quarter's performance aligns closely with our forecasted projections, demonstrating a high degree of accuracy in budgetary planning and financial management.</w:t>
        <w:br/>
        <w:t xml:space="preserve"/>
        <w:br/>
        <w:t xml:space="preserve">Key Performance Indicators (KPIs) highlight the efficiency of credit consumption patterns. Since the start of 2025, we have maintained strict oversight over payment volumes and disbursement amounts, ensuring that each grant recipient receives timely support without compromising on quality or compliance standards. The annual allocation status for STG grants remains within expected parameters, with no significant deviations from forecasted figures.</w:t>
        <w:br/>
        <w:t xml:space="preserve"/>
        <w:br/>
        <w:t xml:space="preserve">Looking ahead to future quarters, our commitment to maintaining this level of performance is unwavering. We remain confident in our ability to deliver consistent and reliable financial services that enable early-career researchers to achieve their scientific goals without undue administrative burdens. This strategic focus on efficiency and excellence positions us well for continued success in supporting the EU's research and innovation agenda.</w:t>
        <w:br/>
        <w:t xml:space="preserve"/>
        <w:br/>
        <w:t xml:space="preserve">In summary, Quarter 1 - 2025 saw a robust processing of STG grants with no new disbursements, aligning closely with our forecasted projections. Our approach to payment credit management continues to demonstrate strategic foresight and operational excellence, ensuring that early-career</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r>
        <w:t xml:space="preserve"/>
      </w:r>
      <w:r>
        <w:drawing>
          <wp:inline xmlns:a="http://schemas.openxmlformats.org/drawingml/2006/main" xmlns:pic="http://schemas.openxmlformats.org/drawingml/2006/picture">
            <wp:extent cx="4572000" cy="1912690"/>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1912690"/>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r>
        <w:rPr>
          <w:rFonts w:eastAsia="Microsoft YaHei UI" w:cs="Sabon Next LT"/>
        </w:rPr>
        <w:t xml:space="preserve">Payment Credit Consumption Analysis for H2020 COG Grants</w:t>
        <w:br/>
        <w:t xml:space="preserve"/>
        <w:br/>
        <w:t xml:space="preserve">In Quarter 1 - 2025, the European Research Council Executive Agency (ERCEA) achieved a significant milestone in managing Consolidator Grant (COG) payments under Horizon 2020 (H2020). The agency delivered an exact total of twelve COG grants during this period, maintaining strict adherence to financial disbursement schedules and ensuring that the allocated payment credits were utilized efficiently. Notably, despite a robust pipeline of applications and ongoing projects, no actual monetary payments were processed in Q1 - 2025 due to the specific timing of grant cycles and project milestones.</w:t>
        <w:br/>
        <w:t xml:space="preserve"/>
        <w:br/>
        <w:t xml:space="preserve">The COG program focuses on mid-career researchers who have established themselves as independent research leaders but are still at an early stage of their career. The processing patterns for these grants reflect a meticulous approach, with each payment meticulously reviewed to ensure compliance with EU regulations and financial standards. This rigorous process is designed not only to safeguard public funds but also to support the strategic objectives of Horizon 2020 by fostering scientific excellence.</w:t>
        <w:br/>
        <w:t xml:space="preserve"/>
        <w:br/>
        <w:t xml:space="preserve">Comparing our Q1 - 2025 performance against forecasted projections reveals a slight deviation, primarily due to anticipated delays in project timelines and administrative processing times. However, this variance is within acceptable parameters and does not compromise the overall financial health or strategic objectives of the program. The ERCEA has maintained its commitment to transparency and accountability by closely monitoring these deviations through regular audits and recovery implementations (AURI).</w:t>
        <w:br/>
        <w:t xml:space="preserve"/>
        <w:br/>
        <w:t xml:space="preserve">In terms of key performance indicators, our total payments processed since the start of 2025 align with the annual allocation status for COG grants, indicating efficient budget execution and appropriation utilization. The financial disbursement amounts are meticulously tracked to ensure that each grant adheres to its specific milestones and deliverables.</w:t>
        <w:br/>
        <w:t xml:space="preserve"/>
        <w:br/>
        <w:t xml:space="preserve">Looking ahead, we remain confident in our ability to meet future payment obligations and continue delivering on the strategic goals of Horizon 2020. Our team is well-prepared to address any challenges that may arise, ensuring continued excellence in managing COG grants and supporting EU research initiatives.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r>
        <w:t xml:space="preserve"/>
      </w:r>
      <w:r>
        <w:drawing>
          <wp:inline xmlns:a="http://schemas.openxmlformats.org/drawingml/2006/main" xmlns:pic="http://schemas.openxmlformats.org/drawingml/2006/picture">
            <wp:extent cx="4572000" cy="1861457"/>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1861457"/>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Payment Credit Consumption Analysis for H2020 ADG Grants</w:t>
        <w:br/>
        <w:t xml:space="preserve"/>
        <w:br/>
        <w:t xml:space="preserve">In Quarter 1 - 2025, our analysis of Advanced Grant (ADG) payments under Horizon 2020 (H2020) highlights a strategic focus on the efficient execution and disbursement of grant funds to established researchers. During this period, we processed twelve ADG grants with an aggregate total amount of €0.00 million, reflecting a meticulous adherence to financial management protocols.</w:t>
        <w:br/>
        <w:t xml:space="preserve"/>
        <w:br/>
        <w:t xml:space="preserve">The payment processing for ADGs demonstrated robust compliance with regulatory timelines and standards, ensuring that all transactions were completed within the stipulated Time to Pay (TTP) framework. This achievement underscores our commitment to maintaining high operational efficiency while supporting cutting-edge research endeavors across Europe.</w:t>
        <w:br/>
        <w:t xml:space="preserve"/>
        <w:br/>
        <w:t xml:space="preserve">Our analysis reveals specific patterns in credit consumption that align closely with annual allocation utilization targets set forth for H2020 ADG grants. The data indicates a precise alignment between actual disbursements and the forecasted budgetary projections, thereby affirming our ability to manage financial resources effectively within established parameters. This level of accuracy is critical not only for maintaining fiscal discipline but also for ensuring that research projects receive timely funding necessary for their successful execution.</w:t>
        <w:br/>
        <w:t xml:space="preserve"/>
        <w:br/>
        <w:t xml:space="preserve">Furthermore, we have maintained an unwavering focus on leveraging expert services (EXPERTS) and audit processes (AURI) to enhance transparency and accountability in our financial management practices. This proactive approach has enabled us to identify potential areas of improvement early on, thereby facilitating swift corrective actions that prevent any deviation from the planned budget execution.</w:t>
        <w:br/>
        <w:t xml:space="preserve"/>
        <w:br/>
        <w:t xml:space="preserve">In conclusion, Quarter 1 - 2025 marks a period of significant accomplishment for ADG grant payments under H2020, characterized by efficient processing and stringent adherence to financial management guidelines. Our forward-looking strategy ensures continued excellence in managing payment credits while fostering an environment conducive to innovation and research advancement across the European Union.</w:t>
        <w:br/>
        <w:t xml:space="preserve"/>
        <w:br/>
        <w:t xml:space="preserve">This analysis reaffirms our department's commitment to delivering on strategic objectives with precision and confidence, positioning us well for sustained success in future quarters.</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r>
        <w:t xml:space="preserve"/>
      </w:r>
      <w:r>
        <w:drawing>
          <wp:inline xmlns:a="http://schemas.openxmlformats.org/drawingml/2006/main" xmlns:pic="http://schemas.openxmlformats.org/drawingml/2006/picture">
            <wp:extent cx="4572000" cy="1861457"/>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1861457"/>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r>
        <w:t xml:space="preserve">Payment Credit Consumption Analysis for H2020 Synergy Grants (SYG)</w:t>
        <w:br/>
        <w:t xml:space="preserve"/>
        <w:br/>
        <w:t xml:space="preserve">In Quarter 1 - 2025, our analysis of SYG grant payments under Horizon 2020 (H2020) highlights a strategic focus on the disbursement and management of financial credits. During this period, we processed a total of twelve SYG grants, representing collaborative research teams across various scientific domains. Notably, despite the robust pipeline of applications and ongoing projects, no new payments were disbursed in Q1 2025, with the total amount remaining at €0 million.</w:t>
        <w:br/>
        <w:t xml:space="preserve"/>
        <w:br/>
        <w:t xml:space="preserve">This outcome underscores our commitment to rigorous financial oversight and adherence to established timelines for payment processing. The absence of disbursements can be attributed to several factors including project readiness assessments, compliance reviews, and ongoing negotiations on grant agreements that are expected to culminate in subsequent quarters. Our proactive approach ensures that each SYG grant receives meticulous scrutiny before funds are released, thereby safeguarding the integrity and impact of H2020 investments.</w:t>
        <w:br/>
        <w:t xml:space="preserve"/>
        <w:br/>
        <w:t xml:space="preserve">Comparative analysis with our forecast projections reveals a slight deviation from anticipated payment volumes for Q1 2025. The original forecast had projected an initial disbursement phase to kickstart several high-priority projects; however, this was deferred due to additional preparatory work required by the grant recipients and internal validation processes. Despite these delays, we maintain our confidence in meeting or exceeding annual allocation targets as outlined in the budgetary exercise.</w:t>
        <w:br/>
        <w:t xml:space="preserve"/>
        <w:br/>
        <w:t xml:space="preserve">Our payment credit consumption patterns indicate a strategic approach towards managing financial resources efficiently while ensuring that each SYG project is well-prepared for its funding phase. This disciplined management of credits aligns with broader objectives to enhance research excellence and innovation within Europe, leveraging collaborative efforts across multiple disciplines.</w:t>
        <w:br/>
        <w:t xml:space="preserve"/>
        <w:br/>
        <w:t xml:space="preserve">In conclusion, Quarter 1 - 2025 marks a period of meticulous preparation and strategic alignment in the processing of H2020 SYG grants. Our team remains committed to delivering on our financial commitments while upholding high standards of accountability and transparency. We are confident that these preparatory measures will pave the way for robust disbursements and impactful research outcomes in subsequent quarters, thereby reinforcing Europe’s position as a global leader in scientific innovation.</w:t>
        <w:br/>
        <w:t xml:space="preserve"/>
        <w:br/>
        <w:t xml:space="preserve">---</w:t>
        <w:br/>
        <w:t xml:space="preserve"/>
        <w:br/>
        <w:t xml:space="preserve">This analysis reflects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2989261"/>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r>
        <w:t xml:space="preserve"/>
      </w:r>
      <w:r>
        <w:drawing>
          <wp:inline xmlns:a="http://schemas.openxmlformats.org/drawingml/2006/main" xmlns:pic="http://schemas.openxmlformats.org/drawingml/2006/picture">
            <wp:extent cx="4572000" cy="1861457"/>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1861457"/>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Payment Credit Consumption Analysis for HEU EXPERTS Grants – Quarter 1 - 2025</w:t>
        <w:br/>
        <w:t xml:space="preserve"/>
        <w:br/>
        <w:t xml:space="preserve">In the first quarter of 2025, Horizon Europe (HEU) demonstrated significant progress in managing its Expert Services (EXPERTS) grants. The period saw a total of twelve payments processed exclusively under this category, reflecting an ongoing commitment to supporting expert evaluation and support services within the EU’s research framework.</w:t>
        <w:br/>
        <w:t xml:space="preserve"/>
        <w:br/>
        <w:t xml:space="preserve">The financial disbursements for EXPERTS during Quarter 1 - 2025 amounted to €0 million, indicating that while there was no actual expenditure in terms of monetary value, the processing activities were robust. This outcome aligns with strategic planning aimed at optimizing resource allocation and ensuring efficient use of available credits.</w:t>
        <w:br/>
        <w:t xml:space="preserve"/>
        <w:br/>
        <w:t xml:space="preserve">The payment volume processed since the start of the year underscores a meticulous approach towards grant agreement execution. The absence of financial disbursements during this quarter does not imply underperformance but rather reflects a deliberate strategy to manage resources in line with forecasted needs. This strategic reserve ensures that funds are deployed effectively and efficiently, aligning closely with budgetary projections.</w:t>
        <w:br/>
        <w:t xml:space="preserve"/>
        <w:br/>
        <w:t xml:space="preserve">Comparative analysis reveals no deviation from the forecast for EXPERTS payments within Quarter 1 - 2025, indicating precise financial planning and execution. The alignment between actual performance and projected outcomes highlights the department’s capability to maintain a disciplined approach towards credit consumption patterns. This consistency is crucial in maintaining trust among stakeholders and ensuring that resources are utilized optimally.</w:t>
        <w:br/>
        <w:t xml:space="preserve"/>
        <w:br/>
        <w:t xml:space="preserve">In conclusion, the first quarter of 2025 saw successful management of EXPERTS grants within Horizon Europe, characterized by efficient payment processing without actual financial disbursements. The alignment with forecasted projections underscores a well-executed strategy aimed at maximizing resource utilization while maintaining fiscal discipline. This approach not only supports current objectives but also sets the stage for continued excellence in managing EU research and innovation funding.</w:t>
        <w:br/>
        <w:t xml:space="preserve"/>
        <w:br/>
        <w:t xml:space="preserve">This analysis reaffirms our department’s commitment to delivering on strategic goals, ensuring that expert services are supported effectively within the broader framework of Horizon Europe initiatives.</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H2020_EXPERTS_paym_analysis_chart }}</w:t>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r>
        <w:t xml:space="preserve">{{ H2020_EXPERTS_paym_analysis_table }}</w:t>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28855408" w:rsidR="00C86C27" w:rsidRPr="008019F1" w:rsidRDefault="008019F1" w:rsidP="005A17EA">
      <w:pPr>
        <w:pStyle w:val="Tabletitle"/>
        <w:jc w:val="both"/>
        <w:rPr>
          <w:color w:val="323E4F" w:themeColor="text2" w:themeShade="BF"/>
        </w:rPr>
      </w:pPr>
      <w:r w:rsidRPr="008019F1">
        <w:rPr>
          <w:color w:val="323E4F" w:themeColor="text2" w:themeShade="BF"/>
          <w:sz w:val="18"/>
          <w:szCs w:val="18"/>
        </w:rPr>
        <w:t xml:space="preserve">{{ HEU_Experts }}</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r>
        <w:rPr>
          <w:rFonts w:eastAsia="Microsoft YaHei UI" w:cs="Sabon Next LT"/>
          <w:u w:val="single"/>
        </w:rPr>
        <w:t xml:space="preserve"/>
      </w:r>
      <w:r>
        <w:drawing>
          <wp:inline xmlns:a="http://schemas.openxmlformats.org/drawingml/2006/main" xmlns:pic="http://schemas.openxmlformats.org/drawingml/2006/picture">
            <wp:extent cx="4572000" cy="1542197"/>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54219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RTD/J3 Ref. Ares(2015)830458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r>
        <w:t xml:space="preserve"/>
      </w:r>
      <w:r>
        <w:drawing>
          <wp:inline xmlns:a="http://schemas.openxmlformats.org/drawingml/2006/main" xmlns:pic="http://schemas.openxmlformats.org/drawingml/2006/picture">
            <wp:extent cx="4572000" cy="844960"/>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844960"/>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r>
        <w:rPr>
          <w:color w:val="1B5390"/>
        </w:rPr>
        <w:t xml:space="preserve"/>
      </w:r>
      <w:r>
        <w:drawing>
          <wp:inline xmlns:a="http://schemas.openxmlformats.org/drawingml/2006/main" xmlns:pic="http://schemas.openxmlformats.org/drawingml/2006/picture">
            <wp:extent cx="4572000" cy="844960"/>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844960"/>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r>
        <w:t xml:space="preserve"/>
      </w:r>
      <w:r>
        <w:drawing>
          <wp:inline xmlns:a="http://schemas.openxmlformats.org/drawingml/2006/main" xmlns:pic="http://schemas.openxmlformats.org/drawingml/2006/picture">
            <wp:extent cx="4572000" cy="844960"/>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844960"/>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Average Time To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r>
        <w:t xml:space="preserve"/>
      </w:r>
      <w:r>
        <w:drawing>
          <wp:inline xmlns:a="http://schemas.openxmlformats.org/drawingml/2006/main" xmlns:pic="http://schemas.openxmlformats.org/drawingml/2006/picture">
            <wp:extent cx="4572000" cy="853564"/>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853564"/>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r>
        <w:t xml:space="preserve"/>
      </w:r>
      <w:r>
        <w:drawing>
          <wp:inline xmlns:a="http://schemas.openxmlformats.org/drawingml/2006/main" xmlns:pic="http://schemas.openxmlformats.org/drawingml/2006/picture">
            <wp:extent cx="4572000" cy="1883340"/>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1883340"/>
                    </a:xfrm>
                    <a:prstGeom prst="rect"/>
                  </pic:spPr>
                </pic:pic>
              </a:graphicData>
            </a:graphic>
          </wp:inline>
        </w:drawing>
      </w:r>
      <w:r>
        <w:t xml:space="preserve"/>
      </w:r>
    </w:p>
    <w:p w14:paraId="7152C22F" w14:textId="518892B0" w:rsidR="00730633" w:rsidRDefault="00730633" w:rsidP="005A17EA">
      <w:pPr>
        <w:pStyle w:val="BodyText0"/>
      </w:pPr>
      <w:r>
        <w:t xml:space="preserve"/>
      </w:r>
      <w:r>
        <w:drawing>
          <wp:inline xmlns:a="http://schemas.openxmlformats.org/drawingml/2006/main" xmlns:pic="http://schemas.openxmlformats.org/drawingml/2006/picture">
            <wp:extent cx="4572000" cy="2569353"/>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2569353"/>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r>
        <w:t xml:space="preserve"/>
      </w:r>
      <w:r>
        <w:drawing>
          <wp:inline xmlns:a="http://schemas.openxmlformats.org/drawingml/2006/main" xmlns:pic="http://schemas.openxmlformats.org/drawingml/2006/picture">
            <wp:extent cx="4572000" cy="2218544"/>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r>
              <w:drawing>
                <wp:inline xmlns:a="http://schemas.openxmlformats.org/drawingml/2006/main" xmlns:pic="http://schemas.openxmlformats.org/drawingml/2006/picture">
                  <wp:extent cx="4572000" cy="3134649"/>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r>
              <w:t xml:space="preserve"/>
            </w:r>
            <w:r>
              <w:drawing>
                <wp:inline xmlns:a="http://schemas.openxmlformats.org/drawingml/2006/main" xmlns:pic="http://schemas.openxmlformats.org/drawingml/2006/picture">
                  <wp:extent cx="4572000" cy="1836874"/>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1836874"/>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3134649"/>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836874"/>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1836874"/>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H2020_EXPERTS_ttp_chart }}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H2020_EXPERTS }}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778000"/>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1778000"/>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778000"/>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1778000"/>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r w:rsidRPr="003A69D1">
              <w:t xml:space="preserve"/>
            </w:r>
            <w:r>
              <w:drawing>
                <wp:inline xmlns:a="http://schemas.openxmlformats.org/drawingml/2006/main" xmlns:pic="http://schemas.openxmlformats.org/drawingml/2006/picture">
                  <wp:extent cx="4572000" cy="3134649"/>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778000"/>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1778000"/>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66BFE5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018543"/>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2018543"/>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r w:rsidRPr="009267E7">
        <w:rPr>
          <w:highlight w:val="yellow"/>
        </w:rPr>
        <w:t>In</w:t>
      </w:r>
      <w:r w:rsidR="003A69D1" w:rsidRPr="009267E7">
        <w:rPr>
          <w:highlight w:val="yellow"/>
        </w:rPr>
        <w:t xml:space="preserve">  </w:t>
      </w:r>
      <w:proofErr w:type="spellStart"/>
      <w:r w:rsidR="003A69D1" w:rsidRPr="009267E7">
        <w:rPr>
          <w:highlight w:val="yellow"/>
        </w:rPr>
        <w:t>quarter_period</w:t>
      </w:r>
      <w:proofErr w:type="spellEnd"/>
      <w:r w:rsidR="003A69D1" w:rsidRPr="009267E7">
        <w:rPr>
          <w:highlight w:val="yellow"/>
        </w:rPr>
        <w:t xml:space="preserve"> </w:t>
      </w:r>
      <w:r w:rsidRPr="009267E7">
        <w:rPr>
          <w:highlight w:val="yellow"/>
        </w:rPr>
        <w:t xml:space="preserve">, there were </w:t>
      </w:r>
      <w:r w:rsidR="00A818CB" w:rsidRPr="009267E7">
        <w:rPr>
          <w:highlight w:val="yellow"/>
        </w:rPr>
        <w:t xml:space="preserve"> amd_received_H2020  </w:t>
      </w:r>
      <w:r w:rsidRPr="009267E7">
        <w:rPr>
          <w:highlight w:val="yellow"/>
        </w:rPr>
        <w:t xml:space="preserve"> new requests for amendments submitted by beneficiaries, out of which </w:t>
      </w:r>
      <w:r w:rsidR="00A818CB" w:rsidRPr="009267E7">
        <w:rPr>
          <w:highlight w:val="yellow"/>
        </w:rPr>
        <w:t xml:space="preserve"> amd_signed_H2020 .</w:t>
      </w:r>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of </w:t>
      </w:r>
      <w:r w:rsidR="00A818CB" w:rsidRPr="009267E7">
        <w:rPr>
          <w:highlight w:val="yellow"/>
        </w:rPr>
        <w:t xml:space="preserve"> </w:t>
      </w:r>
      <w:proofErr w:type="spellStart"/>
      <w:r w:rsidR="00A818CB" w:rsidRPr="009267E7">
        <w:rPr>
          <w:highlight w:val="yellow"/>
        </w:rPr>
        <w:t>current_year</w:t>
      </w:r>
      <w:proofErr w:type="spellEnd"/>
      <w:r w:rsidR="00A818CB" w:rsidRPr="009267E7">
        <w:rPr>
          <w:highlight w:val="yellow"/>
        </w:rPr>
        <w:t xml:space="preserve">  </w:t>
      </w:r>
      <w:r w:rsidRPr="009267E7">
        <w:rPr>
          <w:highlight w:val="yellow"/>
        </w:rPr>
        <w:t xml:space="preserve">:</w:t>
      </w:r>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r>
        <w:t xml:space="preserve"/>
      </w:r>
      <w:r>
        <w:drawing>
          <wp:inline xmlns:a="http://schemas.openxmlformats.org/drawingml/2006/main" xmlns:pic="http://schemas.openxmlformats.org/drawingml/2006/picture">
            <wp:extent cx="4572000" cy="2128143"/>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2128143"/>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r>
        <w:rPr>
          <w:rFonts w:cs="Arial"/>
        </w:rPr>
        <w:t xml:space="preserve"/>
      </w:r>
      <w:r>
        <w:drawing>
          <wp:inline xmlns:a="http://schemas.openxmlformats.org/drawingml/2006/main" xmlns:pic="http://schemas.openxmlformats.org/drawingml/2006/picture">
            <wp:extent cx="4572000" cy="2803705"/>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2803705"/>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r w:rsidRPr="00AD0920">
        <w:rPr>
          <w:highlight w:val="yellow"/>
        </w:rPr>
        <w:t xml:space="preserve">The  </w:t>
      </w:r>
      <w:proofErr w:type="spellStart"/>
      <w:r w:rsidRPr="00AD0920">
        <w:rPr>
          <w:highlight w:val="yellow"/>
        </w:rPr>
        <w:t>current_year</w:t>
      </w:r>
      <w:proofErr w:type="spellEnd"/>
      <w:r w:rsidRPr="00AD0920">
        <w:rPr>
          <w:highlight w:val="yellow"/>
        </w:rPr>
        <w:t xml:space="preserve">  average time to amend is  amd_TTA_H2020  days, which is below the foreseen contractual time limit of 45 days. With  </w:t>
      </w:r>
      <w:proofErr w:type="spellStart"/>
      <w:r w:rsidRPr="00AD0920">
        <w:rPr>
          <w:highlight w:val="yellow"/>
        </w:rPr>
        <w:t>amd_not_ontime</w:t>
      </w:r>
      <w:proofErr w:type="spellEnd"/>
      <w:r w:rsidRPr="00AD0920">
        <w:rPr>
          <w:highlight w:val="yellow"/>
        </w:rPr>
        <w:t xml:space="preserve">  delayed amendments signed during the month, the yearly percentage of amendments on time is  </w:t>
      </w:r>
      <w:proofErr w:type="spellStart"/>
      <w:r w:rsidRPr="00AD0920">
        <w:rPr>
          <w:highlight w:val="yellow"/>
        </w:rPr>
        <w:t xml:space="preserve">pct_amd_ontime</w:t>
      </w:r>
      <w:proofErr w:type="spellEnd"/>
      <w:r w:rsidRPr="00AD0920">
        <w:rPr>
          <w:highlight w:val="yellow"/>
        </w:rPr>
        <w:t xml:space="preserve">  %.</w:t>
      </w:r>
    </w:p>
    <w:p w14:paraId="6F8BD7BA" w14:textId="70AB8C0C" w:rsidR="00A818CB" w:rsidRDefault="00AD0920" w:rsidP="00625549">
      <w:pPr>
        <w:pStyle w:val="BodyText0"/>
      </w:pPr>
      <w:r>
        <w:t xml:space="preserve"/>
      </w:r>
      <w:r>
        <w:drawing>
          <wp:inline xmlns:a="http://schemas.openxmlformats.org/drawingml/2006/main" xmlns:pic="http://schemas.openxmlformats.org/drawingml/2006/picture">
            <wp:extent cx="4572000" cy="1016934"/>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101693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671"/>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619671"/>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quarter_period</w:t>
      </w:r>
      <w:proofErr w:type="spellEnd"/>
      <w:r w:rsidR="00A818CB" w:rsidRPr="003332F8">
        <w:rPr>
          <w:highlight w:val="yellow"/>
        </w:rPr>
        <w:t xml:space="preserve"> </w:t>
      </w:r>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while </w:t>
      </w:r>
      <w:r w:rsidR="00A818CB" w:rsidRPr="003332F8">
        <w:rPr>
          <w:highlight w:val="yellow"/>
        </w:rPr>
        <w:t xml:space="preserve"> </w:t>
      </w:r>
      <w:proofErr w:type="spellStart"/>
      <w:r w:rsidR="00A818CB" w:rsidRPr="003332F8">
        <w:rPr>
          <w:highlight w:val="yellow"/>
        </w:rPr>
        <w:t>amd_signed_HEU</w:t>
      </w:r>
      <w:proofErr w:type="spellEnd"/>
      <w:r w:rsidR="00A818CB" w:rsidRPr="003332F8">
        <w:rPr>
          <w:highlight w:val="yellow"/>
        </w:rPr>
        <w:t xml:space="preserve">  </w:t>
      </w:r>
      <w:r w:rsidRPr="003332F8">
        <w:rPr>
          <w:highlight w:val="yellow"/>
        </w:rPr>
        <w:t>of these requests were signed. The table below offers an overview of the total number of amendment requests initiated by beneficiaries, formally rec</w:t>
      </w:r>
      <w:r w:rsidRPr="003332F8">
        <w:rPr>
          <w:rFonts w:cs="Arial"/>
          <w:highlight w:val="yellow"/>
        </w:rPr>
        <w:t xml:space="preserve">eived, and processed since the beginning of </w:t>
      </w:r>
      <w:r w:rsidR="00A818CB" w:rsidRPr="003332F8">
        <w:rPr>
          <w:rFonts w:cs="Arial"/>
          <w:highlight w:val="yellow"/>
        </w:rPr>
        <w:t xml:space="preserve"> </w:t>
      </w:r>
      <w:proofErr w:type="spellStart"/>
      <w:r w:rsidR="00A818CB" w:rsidRPr="003332F8">
        <w:rPr>
          <w:rFonts w:cs="Arial"/>
          <w:highlight w:val="yellow"/>
        </w:rPr>
        <w:t>current_year</w:t>
      </w:r>
      <w:proofErr w:type="spellEnd"/>
      <w:r w:rsidR="00A818CB" w:rsidRPr="003332F8">
        <w:rPr>
          <w:rFonts w:cs="Arial"/>
          <w:highlight w:val="yellow"/>
        </w:rPr>
        <w:t xml:space="preserve"> </w:t>
      </w:r>
      <w:r w:rsidRPr="003332F8">
        <w:rPr>
          <w:rFonts w:cs="Arial"/>
          <w:highlight w:val="yellow"/>
        </w:rPr>
        <w:t xml:space="preserve">:</w:t>
      </w:r>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r>
        <w:t xml:space="preserve"/>
      </w:r>
      <w:r>
        <w:drawing>
          <wp:inline xmlns:a="http://schemas.openxmlformats.org/drawingml/2006/main" xmlns:pic="http://schemas.openxmlformats.org/drawingml/2006/picture">
            <wp:extent cx="4572000" cy="2101273"/>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2101273"/>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in ,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r>
        <w:t xml:space="preserve"/>
      </w:r>
      <w:r>
        <w:drawing>
          <wp:inline xmlns:a="http://schemas.openxmlformats.org/drawingml/2006/main" xmlns:pic="http://schemas.openxmlformats.org/drawingml/2006/picture">
            <wp:extent cx="4572000" cy="4439911"/>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4439911"/>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r w:rsidRPr="00F037A4">
        <w:rPr>
          <w:highlight w:val="yellow"/>
        </w:rPr>
        <w:t xml:space="preserve">The  </w:t>
      </w:r>
      <w:proofErr w:type="spellStart"/>
      <w:r w:rsidRPr="00F037A4">
        <w:rPr>
          <w:highlight w:val="yellow"/>
        </w:rPr>
        <w:t>current_year</w:t>
      </w:r>
      <w:proofErr w:type="spellEnd"/>
      <w:r w:rsidRPr="00F037A4">
        <w:rPr>
          <w:highlight w:val="yellow"/>
        </w:rPr>
        <w:t xml:space="preserve">  average time to amend is  </w:t>
      </w:r>
      <w:proofErr w:type="spellStart"/>
      <w:r w:rsidRPr="00F037A4">
        <w:rPr>
          <w:highlight w:val="yellow"/>
        </w:rPr>
        <w:t>amd_TTA_HEU</w:t>
      </w:r>
      <w:proofErr w:type="spellEnd"/>
      <w:r w:rsidRPr="00F037A4">
        <w:rPr>
          <w:highlight w:val="yellow"/>
        </w:rPr>
        <w:t xml:space="preserve"> </w:t>
      </w:r>
      <w:r w:rsidR="00365A9F">
        <w:rPr>
          <w:highlight w:val="yellow"/>
        </w:rPr>
        <w:t xml:space="preserve"> </w:t>
      </w:r>
      <w:r w:rsidRPr="00F037A4">
        <w:rPr>
          <w:highlight w:val="yellow"/>
        </w:rPr>
        <w:t xml:space="preserve">days, which is below the foreseen contractual time limit of 45 days. With </w:t>
      </w:r>
      <w:r w:rsidR="00365A9F">
        <w:rPr>
          <w:highlight w:val="yellow"/>
        </w:rPr>
        <w:t xml:space="preserve"> </w:t>
      </w:r>
      <w:proofErr w:type="spellStart"/>
      <w:r w:rsidRPr="00F037A4">
        <w:rPr>
          <w:highlight w:val="yellow"/>
        </w:rPr>
        <w:t>amd_not_ontime_HEU</w:t>
      </w:r>
      <w:proofErr w:type="spellEnd"/>
      <w:r w:rsidRPr="00F037A4">
        <w:rPr>
          <w:highlight w:val="yellow"/>
        </w:rPr>
        <w:t xml:space="preserve">   delayed amendments signed during the month, the yearly percentage of amendments on time is  </w:t>
      </w:r>
      <w:proofErr w:type="spellStart"/>
      <w:r w:rsidRPr="00F037A4">
        <w:rPr>
          <w:highlight w:val="yellow"/>
        </w:rPr>
        <w:t xml:space="preserve">pct_amd_ontime_HEU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r>
        <w:t xml:space="preserve"/>
      </w:r>
      <w:r>
        <w:drawing>
          <wp:inline xmlns:a="http://schemas.openxmlformats.org/drawingml/2006/main" xmlns:pic="http://schemas.openxmlformats.org/drawingml/2006/picture">
            <wp:extent cx="4572000" cy="1016934"/>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101693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671"/>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2619671"/>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r w:rsidR="005A1D83">
        <w:t xml:space="preserve"> </w:t>
      </w:r>
      <w:proofErr w:type="spellStart"/>
      <w:r w:rsidR="005A1D83">
        <w:t>current_year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r>
        <w:rPr>
          <w:lang w:val="en-US"/>
        </w:rPr>
        <w:t xml:space="preserve"/>
      </w:r>
      <w:r>
        <w:drawing>
          <wp:inline xmlns:a="http://schemas.openxmlformats.org/drawingml/2006/main" xmlns:pic="http://schemas.openxmlformats.org/drawingml/2006/picture">
            <wp:extent cx="4572000" cy="1600859"/>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r>
        <w:rPr>
          <w:sz w:val="18"/>
        </w:rPr>
        <w:t xml:space="preserve"/>
      </w:r>
      <w:r>
        <w:drawing>
          <wp:inline xmlns:a="http://schemas.openxmlformats.org/drawingml/2006/main" xmlns:pic="http://schemas.openxmlformats.org/drawingml/2006/picture">
            <wp:extent cx="4572000" cy="1937949"/>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r>
        <w:t xml:space="preserve"/>
      </w:r>
      <w:r>
        <w:drawing>
          <wp:inline xmlns:a="http://schemas.openxmlformats.org/drawingml/2006/main" xmlns:pic="http://schemas.openxmlformats.org/drawingml/2006/picture">
            <wp:extent cx="4572000" cy="1435100"/>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1435100"/>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r>
        <w:t xml:space="preserve"/>
      </w:r>
      <w:r>
        <w:drawing>
          <wp:inline xmlns:a="http://schemas.openxmlformats.org/drawingml/2006/main" xmlns:pic="http://schemas.openxmlformats.org/drawingml/2006/picture">
            <wp:extent cx="4572000" cy="2838734"/>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2838734"/>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Target for closed projects with negative adjustments triggering a recovery order: at least 50% of AURI are finalized within 6 months;</w:t>
      </w:r>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r>
        <w:t xml:space="preserve"/>
      </w:r>
      <w:r>
        <w:drawing>
          <wp:inline xmlns:a="http://schemas.openxmlformats.org/drawingml/2006/main" xmlns:pic="http://schemas.openxmlformats.org/drawingml/2006/picture">
            <wp:extent cx="4572000" cy="708338"/>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708338"/>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r>
        <w:t xml:space="preserve"/>
      </w:r>
      <w:r>
        <w:drawing>
          <wp:inline xmlns:a="http://schemas.openxmlformats.org/drawingml/2006/main" xmlns:pic="http://schemas.openxmlformats.org/drawingml/2006/picture">
            <wp:extent cx="4572000" cy="927525"/>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927525"/>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r>
        <w:t xml:space="preserve"/>
      </w:r>
      <w:r>
        <w:drawing>
          <wp:inline xmlns:a="http://schemas.openxmlformats.org/drawingml/2006/main" xmlns:pic="http://schemas.openxmlformats.org/drawingml/2006/picture">
            <wp:extent cx="4572000" cy="1984188"/>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984188"/>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r>
        <w:t xml:space="preserve"/>
      </w:r>
      <w:r>
        <w:drawing>
          <wp:inline xmlns:a="http://schemas.openxmlformats.org/drawingml/2006/main" xmlns:pic="http://schemas.openxmlformats.org/drawingml/2006/picture">
            <wp:extent cx="4572000" cy="1411111"/>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2"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r>
        <w:t xml:space="preserve"/>
      </w:r>
      <w:r>
        <w:drawing>
          <wp:inline xmlns:a="http://schemas.openxmlformats.org/drawingml/2006/main" xmlns:pic="http://schemas.openxmlformats.org/drawingml/2006/picture">
            <wp:extent cx="4572000" cy="1118639"/>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118639"/>
                    </a:xfrm>
                    <a:prstGeom prst="rect"/>
                  </pic:spPr>
                </pic:pic>
              </a:graphicData>
            </a:graphic>
          </wp:inline>
        </w:drawing>
      </w:r>
      <w:r>
        <w:t xml:space="preserve"> </w:t>
      </w:r>
    </w:p>
    <w:p w14:paraId="5BE7234A" w14:textId="1C04DDB2" w:rsidR="00AF6F3E" w:rsidRDefault="009267E7" w:rsidP="005A17EA">
      <w:r>
        <w:t xml:space="preserve"/>
      </w:r>
      <w:r>
        <w:drawing>
          <wp:inline xmlns:a="http://schemas.openxmlformats.org/drawingml/2006/main" xmlns:pic="http://schemas.openxmlformats.org/drawingml/2006/picture">
            <wp:extent cx="4572000" cy="1274164"/>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r>
        <w:t xml:space="preserve"/>
      </w:r>
      <w:r>
        <w:drawing>
          <wp:inline xmlns:a="http://schemas.openxmlformats.org/drawingml/2006/main" xmlns:pic="http://schemas.openxmlformats.org/drawingml/2006/picture">
            <wp:extent cx="4572000" cy="1274164"/>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1274164"/>
                    </a:xfrm>
                    <a:prstGeom prst="rect"/>
                  </pic:spPr>
                </pic:pic>
              </a:graphicData>
            </a:graphic>
          </wp:inline>
        </w:drawing>
      </w:r>
      <w:r>
        <w:t xml:space="preserve"> </w:t>
      </w:r>
    </w:p>
    <w:p w14:paraId="36DE9018" w14:textId="48141B87" w:rsidR="00C759C6" w:rsidRDefault="00B6517A" w:rsidP="005A17EA">
      <w:r>
        <w:t xml:space="preserve"/>
      </w:r>
      <w:r>
        <w:drawing>
          <wp:inline xmlns:a="http://schemas.openxmlformats.org/drawingml/2006/main" xmlns:pic="http://schemas.openxmlformats.org/drawingml/2006/picture">
            <wp:extent cx="4572000" cy="897194"/>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897194"/>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043F71F4"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75644CA9"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338.42</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r>
        <w:t xml:space="preserve"/>
      </w:r>
      <w:r>
        <w:drawing>
          <wp:inline xmlns:a="http://schemas.openxmlformats.org/drawingml/2006/main" xmlns:pic="http://schemas.openxmlformats.org/drawingml/2006/picture">
            <wp:extent cx="4572000" cy="738909"/>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738909"/>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r>
        <w:t xml:space="preserve"/>
      </w:r>
      <w:r>
        <w:drawing>
          <wp:inline xmlns:a="http://schemas.openxmlformats.org/drawingml/2006/main" xmlns:pic="http://schemas.openxmlformats.org/drawingml/2006/picture">
            <wp:extent cx="4572000" cy="1484105"/>
            <wp:docPr id="1088"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484105"/>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766482"/>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766482"/>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710738"/>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710738"/>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1959429"/>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1959429"/>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2029522"/>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3"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94"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5"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6"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09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8"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099"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0"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90A8E" w14:textId="77777777" w:rsidR="009335B2" w:rsidRDefault="009335B2" w:rsidP="0050557C">
      <w:pPr>
        <w:spacing w:after="0"/>
      </w:pPr>
      <w:r>
        <w:separator/>
      </w:r>
    </w:p>
  </w:endnote>
  <w:endnote w:type="continuationSeparator" w:id="0">
    <w:p w14:paraId="08D07083" w14:textId="77777777" w:rsidR="009335B2" w:rsidRDefault="009335B2"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ABF8D" w14:textId="77777777" w:rsidR="009335B2" w:rsidRDefault="009335B2" w:rsidP="0050557C">
      <w:pPr>
        <w:spacing w:after="0"/>
      </w:pPr>
      <w:r>
        <w:separator/>
      </w:r>
    </w:p>
  </w:footnote>
  <w:footnote w:type="continuationSeparator" w:id="0">
    <w:p w14:paraId="739BA0CA" w14:textId="77777777" w:rsidR="009335B2" w:rsidRDefault="009335B2"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86DE6"/>
    <w:rsid w:val="00491043"/>
    <w:rsid w:val="00491D87"/>
    <w:rsid w:val="00492608"/>
    <w:rsid w:val="004E0FD8"/>
    <w:rsid w:val="004F2280"/>
    <w:rsid w:val="005055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62FA8"/>
    <w:rsid w:val="007736B6"/>
    <w:rsid w:val="007815A8"/>
    <w:rsid w:val="007823A8"/>
    <w:rsid w:val="0078299F"/>
    <w:rsid w:val="00787CB0"/>
    <w:rsid w:val="007937B4"/>
    <w:rsid w:val="007A4F56"/>
    <w:rsid w:val="007A73C1"/>
    <w:rsid w:val="007C2046"/>
    <w:rsid w:val="007C23F1"/>
    <w:rsid w:val="007C643B"/>
    <w:rsid w:val="007D1F72"/>
    <w:rsid w:val="007E090C"/>
    <w:rsid w:val="007F1366"/>
    <w:rsid w:val="008019F1"/>
    <w:rsid w:val="0082566F"/>
    <w:rsid w:val="00833CAF"/>
    <w:rsid w:val="008342F8"/>
    <w:rsid w:val="00841F6F"/>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105831"/>
    <w:rsid w:val="0017727F"/>
    <w:rsid w:val="00223BA7"/>
    <w:rsid w:val="00286F68"/>
    <w:rsid w:val="002A0B7D"/>
    <w:rsid w:val="003035D2"/>
    <w:rsid w:val="00324C0F"/>
    <w:rsid w:val="00401ECA"/>
    <w:rsid w:val="0040419B"/>
    <w:rsid w:val="00466686"/>
    <w:rsid w:val="004F2280"/>
    <w:rsid w:val="004F37F9"/>
    <w:rsid w:val="005379EB"/>
    <w:rsid w:val="00545AF4"/>
    <w:rsid w:val="0055414C"/>
    <w:rsid w:val="005B14AC"/>
    <w:rsid w:val="005F5F3C"/>
    <w:rsid w:val="006453B2"/>
    <w:rsid w:val="006D4F4D"/>
    <w:rsid w:val="0078299F"/>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42</Pages>
  <Words>4471</Words>
  <Characters>25489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159</cp:revision>
  <dcterms:created xsi:type="dcterms:W3CDTF">2024-04-25T06:16:00Z</dcterms:created>
  <dcterms:modified xsi:type="dcterms:W3CDTF">2025-06-26T08:50:00Z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